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688B" w14:textId="77777777" w:rsidR="0085412A" w:rsidRPr="00987742" w:rsidRDefault="0085412A" w:rsidP="0085412A">
      <w:pPr>
        <w:spacing w:after="0"/>
        <w:rPr>
          <w:rFonts w:ascii="Arial" w:eastAsia="Arial" w:hAnsi="Arial" w:cs="Arial"/>
          <w:b/>
          <w:color w:val="00000A"/>
          <w:sz w:val="24"/>
        </w:rPr>
      </w:pPr>
      <w:r w:rsidRPr="00987742">
        <w:rPr>
          <w:rFonts w:ascii="Arial" w:eastAsia="Arial" w:hAnsi="Arial" w:cs="Arial"/>
          <w:b/>
          <w:noProof/>
          <w:color w:val="00000A"/>
          <w:sz w:val="24"/>
        </w:rPr>
        <w:drawing>
          <wp:anchor distT="0" distB="0" distL="114300" distR="180340" simplePos="0" relativeHeight="251659264" behindDoc="0" locked="0" layoutInCell="1" allowOverlap="1" wp14:anchorId="771E97A9" wp14:editId="436FEC70">
            <wp:simplePos x="0" y="0"/>
            <wp:positionH relativeFrom="column">
              <wp:posOffset>38735</wp:posOffset>
            </wp:positionH>
            <wp:positionV relativeFrom="paragraph">
              <wp:posOffset>9525</wp:posOffset>
            </wp:positionV>
            <wp:extent cx="942975" cy="1118870"/>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42975" cy="1118870"/>
                    </a:xfrm>
                    <a:prstGeom prst="rect">
                      <a:avLst/>
                    </a:prstGeom>
                  </pic:spPr>
                </pic:pic>
              </a:graphicData>
            </a:graphic>
            <wp14:sizeRelH relativeFrom="margin">
              <wp14:pctWidth>0</wp14:pctWidth>
            </wp14:sizeRelH>
            <wp14:sizeRelV relativeFrom="margin">
              <wp14:pctHeight>0</wp14:pctHeight>
            </wp14:sizeRelV>
          </wp:anchor>
        </w:drawing>
      </w:r>
      <w:r w:rsidRPr="00987742">
        <w:rPr>
          <w:rFonts w:ascii="Arial" w:eastAsia="Arial" w:hAnsi="Arial" w:cs="Arial"/>
          <w:b/>
          <w:color w:val="00000A"/>
          <w:sz w:val="24"/>
        </w:rPr>
        <w:t>British Society for the History of Pharmacy</w:t>
      </w:r>
    </w:p>
    <w:p w14:paraId="7CEA5792" w14:textId="77777777" w:rsidR="0085412A" w:rsidRPr="00242224" w:rsidRDefault="0085412A" w:rsidP="0085412A">
      <w:pPr>
        <w:spacing w:after="0"/>
        <w:rPr>
          <w:rFonts w:ascii="Arial" w:eastAsia="Arial" w:hAnsi="Arial" w:cs="Arial"/>
          <w:b/>
          <w:color w:val="00000A"/>
          <w:sz w:val="10"/>
          <w:szCs w:val="10"/>
        </w:rPr>
      </w:pPr>
    </w:p>
    <w:p w14:paraId="452E69FF" w14:textId="77777777" w:rsidR="0085412A" w:rsidRPr="00987742" w:rsidRDefault="0085412A" w:rsidP="0085412A">
      <w:pPr>
        <w:spacing w:after="0"/>
        <w:rPr>
          <w:rFonts w:ascii="Arial" w:eastAsia="Arial" w:hAnsi="Arial" w:cs="Arial"/>
          <w:b/>
          <w:color w:val="00000A"/>
          <w:sz w:val="32"/>
          <w:szCs w:val="32"/>
        </w:rPr>
      </w:pPr>
      <w:r w:rsidRPr="00987742">
        <w:rPr>
          <w:rFonts w:ascii="Arial" w:eastAsia="Arial" w:hAnsi="Arial" w:cs="Arial"/>
          <w:b/>
          <w:color w:val="00000A"/>
          <w:sz w:val="32"/>
          <w:szCs w:val="32"/>
        </w:rPr>
        <w:t>Annual Conference</w:t>
      </w:r>
    </w:p>
    <w:p w14:paraId="20A537BA" w14:textId="77777777" w:rsidR="0085412A" w:rsidRPr="00242224" w:rsidRDefault="0085412A" w:rsidP="0085412A">
      <w:pPr>
        <w:spacing w:after="0"/>
        <w:ind w:right="65"/>
        <w:rPr>
          <w:rFonts w:ascii="Arial" w:eastAsia="Arial" w:hAnsi="Arial" w:cs="Arial"/>
          <w:b/>
          <w:color w:val="00000A"/>
          <w:sz w:val="10"/>
          <w:szCs w:val="10"/>
        </w:rPr>
      </w:pPr>
    </w:p>
    <w:p w14:paraId="7D57971C" w14:textId="77777777" w:rsidR="0085412A" w:rsidRPr="00987742" w:rsidRDefault="0085412A" w:rsidP="0085412A">
      <w:pPr>
        <w:spacing w:after="0"/>
        <w:ind w:right="65"/>
        <w:rPr>
          <w:rFonts w:ascii="Arial" w:eastAsia="Arial" w:hAnsi="Arial" w:cs="Arial"/>
          <w:b/>
          <w:color w:val="00000A"/>
          <w:sz w:val="24"/>
        </w:rPr>
      </w:pPr>
      <w:r w:rsidRPr="00987742">
        <w:rPr>
          <w:rFonts w:ascii="Arial" w:eastAsia="Arial" w:hAnsi="Arial" w:cs="Arial"/>
          <w:b/>
          <w:color w:val="00000A"/>
          <w:sz w:val="24"/>
        </w:rPr>
        <w:t>Saturday 5 April 2025</w:t>
      </w:r>
    </w:p>
    <w:p w14:paraId="244D0463" w14:textId="77777777" w:rsidR="0085412A" w:rsidRPr="00987742" w:rsidRDefault="0085412A" w:rsidP="0085412A">
      <w:pPr>
        <w:spacing w:after="0"/>
        <w:ind w:right="65"/>
        <w:rPr>
          <w:rFonts w:ascii="Arial" w:eastAsia="Arial" w:hAnsi="Arial" w:cs="Arial"/>
          <w:b/>
          <w:color w:val="00000A"/>
          <w:sz w:val="24"/>
        </w:rPr>
      </w:pPr>
    </w:p>
    <w:p w14:paraId="39ADFD24" w14:textId="77777777" w:rsidR="0085412A" w:rsidRPr="00987742" w:rsidRDefault="0085412A" w:rsidP="0085412A">
      <w:pPr>
        <w:spacing w:after="0"/>
        <w:ind w:right="65"/>
        <w:rPr>
          <w:rFonts w:ascii="Arial" w:eastAsia="Arial" w:hAnsi="Arial" w:cs="Arial"/>
          <w:b/>
          <w:color w:val="00000A"/>
          <w:sz w:val="24"/>
        </w:rPr>
      </w:pPr>
      <w:r w:rsidRPr="00987742">
        <w:rPr>
          <w:rFonts w:ascii="Arial" w:eastAsia="Arial" w:hAnsi="Arial" w:cs="Arial"/>
          <w:b/>
          <w:color w:val="00000A"/>
          <w:sz w:val="24"/>
        </w:rPr>
        <w:t>George Marshall Medical Museum, Worcester</w:t>
      </w:r>
    </w:p>
    <w:p w14:paraId="26C25009" w14:textId="77777777" w:rsidR="0085412A" w:rsidRDefault="0085412A" w:rsidP="00987742">
      <w:pPr>
        <w:spacing w:after="0"/>
        <w:ind w:right="7"/>
      </w:pPr>
    </w:p>
    <w:p w14:paraId="64B15272" w14:textId="36449A87" w:rsidR="00C81AE7" w:rsidRPr="00987742" w:rsidRDefault="0085412A" w:rsidP="00C81AE7">
      <w:pPr>
        <w:spacing w:line="240" w:lineRule="auto"/>
        <w:rPr>
          <w:rFonts w:ascii="Arial" w:hAnsi="Arial" w:cs="Arial"/>
          <w:b/>
          <w:bCs/>
          <w:sz w:val="28"/>
          <w:szCs w:val="28"/>
          <w:u w:val="single"/>
        </w:rPr>
      </w:pPr>
      <w:r w:rsidRPr="00987742">
        <w:rPr>
          <w:rFonts w:ascii="Arial" w:hAnsi="Arial" w:cs="Arial"/>
          <w:b/>
          <w:bCs/>
          <w:sz w:val="28"/>
          <w:szCs w:val="28"/>
        </w:rPr>
        <w:t>Abstracts</w:t>
      </w:r>
    </w:p>
    <w:p w14:paraId="3AFA482A" w14:textId="0D432A10" w:rsidR="00C81AE7" w:rsidRPr="00A84F4C" w:rsidRDefault="00C81AE7" w:rsidP="0085412A">
      <w:pPr>
        <w:spacing w:after="0" w:line="240" w:lineRule="auto"/>
        <w:rPr>
          <w:rFonts w:ascii="Arial" w:hAnsi="Arial" w:cs="Arial"/>
          <w:b/>
          <w:bCs/>
          <w:sz w:val="24"/>
          <w:u w:val="single"/>
        </w:rPr>
      </w:pPr>
      <w:r w:rsidRPr="00A84F4C">
        <w:rPr>
          <w:rFonts w:ascii="Arial" w:hAnsi="Arial" w:cs="Arial"/>
          <w:b/>
          <w:bCs/>
          <w:sz w:val="24"/>
          <w:u w:val="single"/>
        </w:rPr>
        <w:t>Early Modern Plague Amulets.</w:t>
      </w:r>
    </w:p>
    <w:p w14:paraId="13D7A4A8" w14:textId="13CA1570" w:rsidR="00C81AE7" w:rsidRDefault="00C81AE7" w:rsidP="00987742">
      <w:pPr>
        <w:pStyle w:val="NormalWeb"/>
        <w:spacing w:before="0" w:beforeAutospacing="0" w:after="0" w:afterAutospacing="0"/>
        <w:rPr>
          <w:rFonts w:ascii="Arial" w:hAnsi="Arial" w:cs="Arial"/>
          <w:b/>
          <w:bCs/>
          <w:u w:val="single"/>
        </w:rPr>
      </w:pPr>
      <w:r w:rsidRPr="00A84F4C">
        <w:rPr>
          <w:rFonts w:ascii="Arial" w:hAnsi="Arial" w:cs="Arial"/>
          <w:b/>
          <w:bCs/>
          <w:u w:val="single"/>
        </w:rPr>
        <w:t>Dr Chris Duffin (Palaeontology Department</w:t>
      </w:r>
      <w:r w:rsidR="00A84F4C" w:rsidRPr="00A84F4C">
        <w:rPr>
          <w:rFonts w:ascii="Arial" w:hAnsi="Arial" w:cs="Arial"/>
          <w:b/>
          <w:bCs/>
          <w:u w:val="single"/>
        </w:rPr>
        <w:t xml:space="preserve">, </w:t>
      </w:r>
      <w:r w:rsidRPr="00A84F4C">
        <w:rPr>
          <w:rFonts w:ascii="Arial" w:hAnsi="Arial" w:cs="Arial"/>
          <w:b/>
          <w:bCs/>
          <w:u w:val="single"/>
        </w:rPr>
        <w:t>The Natural History Museum)</w:t>
      </w:r>
    </w:p>
    <w:p w14:paraId="2023B9BD" w14:textId="77777777" w:rsidR="00987742" w:rsidRPr="00987742" w:rsidRDefault="00987742" w:rsidP="00987742">
      <w:pPr>
        <w:pStyle w:val="NormalWeb"/>
        <w:spacing w:before="0" w:beforeAutospacing="0" w:after="0" w:afterAutospacing="0"/>
        <w:rPr>
          <w:rFonts w:ascii="Arial" w:hAnsi="Arial" w:cs="Arial"/>
          <w:sz w:val="10"/>
          <w:szCs w:val="10"/>
        </w:rPr>
      </w:pPr>
    </w:p>
    <w:p w14:paraId="6A68525B" w14:textId="7FCA6D25" w:rsidR="00C81AE7" w:rsidRDefault="00C81AE7" w:rsidP="00987742">
      <w:pPr>
        <w:pStyle w:val="NormalWeb"/>
        <w:spacing w:before="0" w:beforeAutospacing="0" w:after="0" w:afterAutospacing="0"/>
        <w:rPr>
          <w:rFonts w:ascii="Arial" w:hAnsi="Arial" w:cs="Arial"/>
        </w:rPr>
      </w:pPr>
      <w:r w:rsidRPr="00A84F4C">
        <w:rPr>
          <w:rFonts w:ascii="Arial" w:hAnsi="Arial" w:cs="Arial"/>
        </w:rPr>
        <w:t xml:space="preserve">In lieu of effective treatments for plague during the waves of infection experienced throughout Europe from the 14th to the 18th century, many desperately sought protection by the wearing of amulets. Some items (unicorn horn, bezoar stones, jacinth, amber, serpentinite and </w:t>
      </w:r>
      <w:proofErr w:type="spellStart"/>
      <w:r w:rsidRPr="00A84F4C">
        <w:rPr>
          <w:rFonts w:ascii="Arial" w:hAnsi="Arial" w:cs="Arial"/>
        </w:rPr>
        <w:t>smaragdus</w:t>
      </w:r>
      <w:proofErr w:type="spellEnd"/>
      <w:r w:rsidRPr="00A84F4C">
        <w:rPr>
          <w:rFonts w:ascii="Arial" w:hAnsi="Arial" w:cs="Arial"/>
        </w:rPr>
        <w:t>) were commended against the plague without further explanation. Seemingly the most popular were poisonous materials which were believed to withdraw and concentrate pestilential poison from the patient, emit effluvia which wrestled with the toxins in the patient, or block disease-causing miasmas from entering the body. These included arsenic in its various forms (native, orpiment, realgar, white arsenic or arsenic trioxide), dried toads, live spiders enclosed in walnut shells and quicksilver (liquid mercury) held in a hazel nut or a quill. Often worked into small plague cakes and ‘</w:t>
      </w:r>
      <w:proofErr w:type="spellStart"/>
      <w:r w:rsidRPr="00A84F4C">
        <w:rPr>
          <w:rFonts w:ascii="Arial" w:hAnsi="Arial" w:cs="Arial"/>
        </w:rPr>
        <w:t>zenextons</w:t>
      </w:r>
      <w:proofErr w:type="spellEnd"/>
      <w:r w:rsidRPr="00A84F4C">
        <w:rPr>
          <w:rFonts w:ascii="Arial" w:hAnsi="Arial" w:cs="Arial"/>
        </w:rPr>
        <w:t>’, different combinations of these materials were hung in a bag over the chest. A lively debate concerning the safe use of these materials took place in the early 1600s. An Austro-Bavarian approach involved the use of printed papers or ‘</w:t>
      </w:r>
      <w:proofErr w:type="spellStart"/>
      <w:r w:rsidRPr="00A84F4C">
        <w:rPr>
          <w:rFonts w:ascii="Arial" w:hAnsi="Arial" w:cs="Arial"/>
        </w:rPr>
        <w:t>Pestblätter</w:t>
      </w:r>
      <w:proofErr w:type="spellEnd"/>
      <w:r w:rsidRPr="00A84F4C">
        <w:rPr>
          <w:rFonts w:ascii="Arial" w:hAnsi="Arial" w:cs="Arial"/>
        </w:rPr>
        <w:t>’. These combined diverse counter-reformation Catholic imagery embellished with sequences of letters (‘</w:t>
      </w:r>
      <w:proofErr w:type="spellStart"/>
      <w:r w:rsidRPr="00A84F4C">
        <w:rPr>
          <w:rFonts w:ascii="Arial" w:hAnsi="Arial" w:cs="Arial"/>
        </w:rPr>
        <w:t>characteres</w:t>
      </w:r>
      <w:proofErr w:type="spellEnd"/>
      <w:r w:rsidRPr="00A84F4C">
        <w:rPr>
          <w:rFonts w:ascii="Arial" w:hAnsi="Arial" w:cs="Arial"/>
        </w:rPr>
        <w:t xml:space="preserve">’) separated by </w:t>
      </w:r>
      <w:proofErr w:type="spellStart"/>
      <w:r w:rsidRPr="00A84F4C">
        <w:rPr>
          <w:rFonts w:ascii="Arial" w:hAnsi="Arial" w:cs="Arial"/>
        </w:rPr>
        <w:t>latin</w:t>
      </w:r>
      <w:proofErr w:type="spellEnd"/>
      <w:r w:rsidRPr="00A84F4C">
        <w:rPr>
          <w:rFonts w:ascii="Arial" w:hAnsi="Arial" w:cs="Arial"/>
        </w:rPr>
        <w:t xml:space="preserve"> crosses, acting as acrostics for anti-pestilential appeals and blessings sanctioned by the Council of Trent (1545-1563).</w:t>
      </w:r>
    </w:p>
    <w:p w14:paraId="51B130BC" w14:textId="77777777" w:rsidR="00987742" w:rsidRPr="00A84F4C" w:rsidRDefault="00987742" w:rsidP="00987742">
      <w:pPr>
        <w:pStyle w:val="NormalWeb"/>
        <w:spacing w:before="0" w:beforeAutospacing="0" w:after="0" w:afterAutospacing="0"/>
        <w:rPr>
          <w:rFonts w:ascii="Arial" w:hAnsi="Arial" w:cs="Arial"/>
        </w:rPr>
      </w:pPr>
    </w:p>
    <w:p w14:paraId="22B6BF90" w14:textId="272C5B34" w:rsidR="00C81AE7" w:rsidRPr="00A84F4C" w:rsidRDefault="00C81AE7" w:rsidP="00987742">
      <w:pPr>
        <w:spacing w:after="0" w:line="240" w:lineRule="auto"/>
        <w:rPr>
          <w:rFonts w:ascii="Arial" w:hAnsi="Arial" w:cs="Arial"/>
          <w:b/>
          <w:bCs/>
          <w:sz w:val="24"/>
          <w:u w:val="single"/>
        </w:rPr>
      </w:pPr>
      <w:r w:rsidRPr="00A84F4C">
        <w:rPr>
          <w:rFonts w:ascii="Arial" w:hAnsi="Arial" w:cs="Arial"/>
          <w:b/>
          <w:bCs/>
          <w:sz w:val="24"/>
          <w:u w:val="single"/>
        </w:rPr>
        <w:t>Sir Edwin Landseer's part in pharmacy history</w:t>
      </w:r>
    </w:p>
    <w:p w14:paraId="1410D235" w14:textId="7299A9E5" w:rsidR="00C81AE7" w:rsidRDefault="00C81AE7" w:rsidP="00987742">
      <w:pPr>
        <w:spacing w:after="0" w:line="240" w:lineRule="auto"/>
        <w:rPr>
          <w:rFonts w:ascii="Arial" w:hAnsi="Arial" w:cs="Arial"/>
          <w:b/>
          <w:bCs/>
          <w:sz w:val="24"/>
          <w:u w:val="single"/>
        </w:rPr>
      </w:pPr>
      <w:r w:rsidRPr="00A84F4C">
        <w:rPr>
          <w:rFonts w:ascii="Arial" w:hAnsi="Arial" w:cs="Arial"/>
          <w:b/>
          <w:bCs/>
          <w:sz w:val="24"/>
          <w:u w:val="single"/>
        </w:rPr>
        <w:t>Briony Hudson (Amersham Museum/independent pharmacy historian)</w:t>
      </w:r>
    </w:p>
    <w:p w14:paraId="01395C5A" w14:textId="77777777" w:rsidR="00987742" w:rsidRPr="00987742" w:rsidRDefault="00987742" w:rsidP="00987742">
      <w:pPr>
        <w:spacing w:after="0" w:line="240" w:lineRule="auto"/>
        <w:rPr>
          <w:rFonts w:ascii="Arial" w:hAnsi="Arial" w:cs="Arial"/>
          <w:b/>
          <w:bCs/>
          <w:sz w:val="10"/>
          <w:szCs w:val="10"/>
          <w:u w:val="single"/>
        </w:rPr>
      </w:pPr>
    </w:p>
    <w:p w14:paraId="6A1430F8" w14:textId="3BC5DC5F" w:rsidR="00C81AE7" w:rsidRDefault="00C81AE7" w:rsidP="00987742">
      <w:pPr>
        <w:spacing w:after="0" w:line="240" w:lineRule="auto"/>
        <w:rPr>
          <w:rFonts w:ascii="Arial" w:hAnsi="Arial" w:cs="Arial"/>
          <w:sz w:val="24"/>
        </w:rPr>
      </w:pPr>
      <w:r w:rsidRPr="00A84F4C">
        <w:rPr>
          <w:rFonts w:ascii="Arial" w:hAnsi="Arial" w:cs="Arial"/>
          <w:sz w:val="24"/>
        </w:rPr>
        <w:t>Jacob Bell (1810-1859) was the founder of the Pharmaceutical Society, Member of Parliament for St. Albans and a successful pharmacist. What is less well known is that he was also business manager for his friend Sir Edwin Landseer, and at the centre of a circle of fashionable artists that included William Powell Frith, William Etty and Rosa Bonheur.  How did this pharmacist politician become an influential art patron? Through the 18 works that Bell bequeathed to the nation</w:t>
      </w:r>
      <w:proofErr w:type="gramStart"/>
      <w:r w:rsidRPr="00A84F4C">
        <w:rPr>
          <w:rFonts w:ascii="Arial" w:hAnsi="Arial" w:cs="Arial"/>
          <w:sz w:val="24"/>
        </w:rPr>
        <w:t>, and in particular</w:t>
      </w:r>
      <w:proofErr w:type="gramEnd"/>
      <w:r w:rsidRPr="00A84F4C">
        <w:rPr>
          <w:rFonts w:ascii="Arial" w:hAnsi="Arial" w:cs="Arial"/>
          <w:sz w:val="24"/>
        </w:rPr>
        <w:t xml:space="preserve"> his relationship with Landseer, this talk explores the interplay between pharmacy history and the Victorian artworld. </w:t>
      </w:r>
    </w:p>
    <w:p w14:paraId="05134E90" w14:textId="77777777" w:rsidR="00987742" w:rsidRPr="00A84F4C" w:rsidRDefault="00987742" w:rsidP="00987742">
      <w:pPr>
        <w:spacing w:after="0" w:line="240" w:lineRule="auto"/>
        <w:rPr>
          <w:rFonts w:ascii="Arial" w:hAnsi="Arial" w:cs="Arial"/>
          <w:sz w:val="24"/>
        </w:rPr>
      </w:pPr>
    </w:p>
    <w:p w14:paraId="23A79534" w14:textId="77777777" w:rsidR="00C81AE7" w:rsidRPr="00A84F4C" w:rsidRDefault="00C81AE7" w:rsidP="0085412A">
      <w:pPr>
        <w:pStyle w:val="Heading2"/>
        <w:spacing w:before="0" w:after="0"/>
        <w:rPr>
          <w:rFonts w:ascii="Arial" w:hAnsi="Arial" w:cs="Arial"/>
          <w:b/>
          <w:bCs/>
          <w:color w:val="000000" w:themeColor="text1"/>
          <w:sz w:val="24"/>
          <w:szCs w:val="24"/>
          <w:u w:val="single"/>
        </w:rPr>
      </w:pPr>
      <w:proofErr w:type="spellStart"/>
      <w:r w:rsidRPr="00A84F4C">
        <w:rPr>
          <w:rFonts w:ascii="Arial" w:hAnsi="Arial" w:cs="Arial"/>
          <w:b/>
          <w:bCs/>
          <w:i/>
          <w:iCs/>
          <w:color w:val="000000" w:themeColor="text1"/>
          <w:sz w:val="24"/>
          <w:szCs w:val="24"/>
          <w:u w:val="single"/>
        </w:rPr>
        <w:t>Stomatin</w:t>
      </w:r>
      <w:proofErr w:type="spellEnd"/>
      <w:r w:rsidRPr="00A84F4C">
        <w:rPr>
          <w:rFonts w:ascii="Arial" w:hAnsi="Arial" w:cs="Arial"/>
          <w:b/>
          <w:bCs/>
          <w:color w:val="000000" w:themeColor="text1"/>
          <w:sz w:val="24"/>
          <w:szCs w:val="24"/>
          <w:u w:val="single"/>
        </w:rPr>
        <w:t xml:space="preserve"> from the laboratory of pharmacist Mr Milan Kovacevic</w:t>
      </w:r>
    </w:p>
    <w:p w14:paraId="6156ADFB" w14:textId="50B99BC4" w:rsidR="00C81AE7" w:rsidRDefault="00C81AE7" w:rsidP="00C81AE7">
      <w:pPr>
        <w:spacing w:after="0" w:line="240" w:lineRule="auto"/>
        <w:rPr>
          <w:rFonts w:ascii="Arial" w:eastAsiaTheme="majorEastAsia" w:hAnsi="Arial" w:cs="Arial"/>
          <w:b/>
          <w:bCs/>
          <w:color w:val="000000" w:themeColor="text1"/>
          <w:szCs w:val="22"/>
          <w:u w:val="single"/>
        </w:rPr>
      </w:pPr>
      <w:r w:rsidRPr="00A84F4C">
        <w:rPr>
          <w:rFonts w:ascii="Arial" w:eastAsiaTheme="majorEastAsia" w:hAnsi="Arial" w:cs="Arial"/>
          <w:b/>
          <w:bCs/>
          <w:color w:val="000000" w:themeColor="text1"/>
          <w:sz w:val="24"/>
          <w:u w:val="single"/>
        </w:rPr>
        <w:t xml:space="preserve">Jelena Manojlović </w:t>
      </w:r>
      <w:r w:rsidRPr="00987742">
        <w:rPr>
          <w:rFonts w:ascii="Arial" w:eastAsiaTheme="majorEastAsia" w:hAnsi="Arial" w:cs="Arial"/>
          <w:b/>
          <w:bCs/>
          <w:color w:val="000000" w:themeColor="text1"/>
          <w:szCs w:val="22"/>
          <w:u w:val="single"/>
        </w:rPr>
        <w:t>(Senior curator, Museum for the History of Pharmacy, University of Belgrade)</w:t>
      </w:r>
    </w:p>
    <w:p w14:paraId="268F443E" w14:textId="77777777" w:rsidR="00987742" w:rsidRPr="00987742" w:rsidRDefault="00987742" w:rsidP="00C81AE7">
      <w:pPr>
        <w:spacing w:after="0" w:line="240" w:lineRule="auto"/>
        <w:rPr>
          <w:rFonts w:ascii="Arial" w:eastAsiaTheme="majorEastAsia" w:hAnsi="Arial" w:cs="Arial"/>
          <w:b/>
          <w:bCs/>
          <w:color w:val="000000" w:themeColor="text1"/>
          <w:sz w:val="10"/>
          <w:szCs w:val="10"/>
          <w:u w:val="single"/>
        </w:rPr>
      </w:pPr>
    </w:p>
    <w:p w14:paraId="555D515F" w14:textId="77777777" w:rsidR="00C81AE7" w:rsidRPr="00A84F4C" w:rsidRDefault="00C81AE7" w:rsidP="00C81AE7">
      <w:pPr>
        <w:spacing w:after="0" w:line="240" w:lineRule="auto"/>
        <w:rPr>
          <w:rFonts w:ascii="Arial" w:eastAsiaTheme="majorEastAsia" w:hAnsi="Arial" w:cs="Arial"/>
          <w:color w:val="000000" w:themeColor="text1"/>
          <w:sz w:val="24"/>
        </w:rPr>
      </w:pPr>
      <w:r w:rsidRPr="00A84F4C">
        <w:rPr>
          <w:rFonts w:ascii="Arial" w:eastAsiaTheme="majorEastAsia" w:hAnsi="Arial" w:cs="Arial"/>
          <w:color w:val="000000" w:themeColor="text1"/>
          <w:sz w:val="24"/>
        </w:rPr>
        <w:t xml:space="preserve">The son of Mr Bogoljub Kovacevic, Milan, was the heir and third owner of the pharmacy. As had been expected, he passed the apothecary assistant exam successfully on the 5th of October 1906. He graduated from his studies in Vienna on the 20th of July 1910 and was awarded a master’s degree in pharmacy. At the beginning of the Great War, he was recruited in the military health department. After the war, he renovated the ruined pharmacy and soon after leased </w:t>
      </w:r>
      <w:proofErr w:type="gramStart"/>
      <w:r w:rsidRPr="00A84F4C">
        <w:rPr>
          <w:rFonts w:ascii="Arial" w:eastAsiaTheme="majorEastAsia" w:hAnsi="Arial" w:cs="Arial"/>
          <w:color w:val="000000" w:themeColor="text1"/>
          <w:sz w:val="24"/>
        </w:rPr>
        <w:t>it, and</w:t>
      </w:r>
      <w:proofErr w:type="gramEnd"/>
      <w:r w:rsidRPr="00A84F4C">
        <w:rPr>
          <w:rFonts w:ascii="Arial" w:eastAsiaTheme="majorEastAsia" w:hAnsi="Arial" w:cs="Arial"/>
          <w:color w:val="000000" w:themeColor="text1"/>
          <w:sz w:val="24"/>
        </w:rPr>
        <w:t xml:space="preserve"> eventually sold it in 1922. He then moved to Belgrade, where he established the pharmaceutical laboratory “The Saviour” at 52 </w:t>
      </w:r>
      <w:proofErr w:type="gramStart"/>
      <w:r w:rsidRPr="00A84F4C">
        <w:rPr>
          <w:rFonts w:ascii="Arial" w:eastAsiaTheme="majorEastAsia" w:hAnsi="Arial" w:cs="Arial"/>
          <w:color w:val="000000" w:themeColor="text1"/>
          <w:sz w:val="24"/>
        </w:rPr>
        <w:t>Laudan street</w:t>
      </w:r>
      <w:proofErr w:type="gramEnd"/>
      <w:r w:rsidRPr="00A84F4C">
        <w:rPr>
          <w:rFonts w:ascii="Arial" w:eastAsiaTheme="majorEastAsia" w:hAnsi="Arial" w:cs="Arial"/>
          <w:color w:val="000000" w:themeColor="text1"/>
          <w:sz w:val="24"/>
        </w:rPr>
        <w:t xml:space="preserve"> in Belgrade. He manufactured </w:t>
      </w:r>
      <w:proofErr w:type="gramStart"/>
      <w:r w:rsidRPr="00A84F4C">
        <w:rPr>
          <w:rFonts w:ascii="Arial" w:eastAsiaTheme="majorEastAsia" w:hAnsi="Arial" w:cs="Arial"/>
          <w:color w:val="000000" w:themeColor="text1"/>
          <w:sz w:val="24"/>
        </w:rPr>
        <w:t>a number of</w:t>
      </w:r>
      <w:proofErr w:type="gramEnd"/>
      <w:r w:rsidRPr="00A84F4C">
        <w:rPr>
          <w:rFonts w:ascii="Arial" w:eastAsiaTheme="majorEastAsia" w:hAnsi="Arial" w:cs="Arial"/>
          <w:color w:val="000000" w:themeColor="text1"/>
          <w:sz w:val="24"/>
        </w:rPr>
        <w:t xml:space="preserve"> galenic products, along with </w:t>
      </w:r>
      <w:proofErr w:type="spellStart"/>
      <w:r w:rsidRPr="00A84F4C">
        <w:rPr>
          <w:rFonts w:ascii="Arial" w:eastAsiaTheme="majorEastAsia" w:hAnsi="Arial" w:cs="Arial"/>
          <w:color w:val="000000" w:themeColor="text1"/>
          <w:sz w:val="24"/>
        </w:rPr>
        <w:t>Stomatin</w:t>
      </w:r>
      <w:proofErr w:type="spellEnd"/>
      <w:r w:rsidRPr="00A84F4C">
        <w:rPr>
          <w:rFonts w:ascii="Arial" w:eastAsiaTheme="majorEastAsia" w:hAnsi="Arial" w:cs="Arial"/>
          <w:color w:val="000000" w:themeColor="text1"/>
          <w:sz w:val="24"/>
        </w:rPr>
        <w:t xml:space="preserve">, his patented invention (approved by the Ministry of National Health </w:t>
      </w:r>
      <w:proofErr w:type="spellStart"/>
      <w:r w:rsidRPr="00A84F4C">
        <w:rPr>
          <w:rFonts w:ascii="Arial" w:eastAsiaTheme="majorEastAsia" w:hAnsi="Arial" w:cs="Arial"/>
          <w:color w:val="000000" w:themeColor="text1"/>
          <w:sz w:val="24"/>
        </w:rPr>
        <w:t>A.P.No</w:t>
      </w:r>
      <w:proofErr w:type="spellEnd"/>
      <w:r w:rsidRPr="00A84F4C">
        <w:rPr>
          <w:rFonts w:ascii="Arial" w:eastAsiaTheme="majorEastAsia" w:hAnsi="Arial" w:cs="Arial"/>
          <w:color w:val="000000" w:themeColor="text1"/>
          <w:sz w:val="24"/>
        </w:rPr>
        <w:t xml:space="preserve">. 569/927), used for treating severe and chronic stomach problems, for which he was awarded the Grand Prix and gold medal at the 1928 Paris Convention. </w:t>
      </w:r>
      <w:proofErr w:type="spellStart"/>
      <w:r w:rsidRPr="00A84F4C">
        <w:rPr>
          <w:rFonts w:ascii="Arial" w:eastAsiaTheme="majorEastAsia" w:hAnsi="Arial" w:cs="Arial"/>
          <w:color w:val="000000" w:themeColor="text1"/>
          <w:sz w:val="24"/>
        </w:rPr>
        <w:t>Stomatin</w:t>
      </w:r>
      <w:proofErr w:type="spellEnd"/>
      <w:r w:rsidRPr="00A84F4C">
        <w:rPr>
          <w:rFonts w:ascii="Arial" w:eastAsiaTheme="majorEastAsia" w:hAnsi="Arial" w:cs="Arial"/>
          <w:color w:val="000000" w:themeColor="text1"/>
          <w:sz w:val="24"/>
        </w:rPr>
        <w:t xml:space="preserve"> was regularly advertised in the most popular daily papers in Belgrade (Pravda/Justice, Vreme/Time, Politika/Politics). The advertisement also contained brief testimonies from patients which had used </w:t>
      </w:r>
      <w:proofErr w:type="spellStart"/>
      <w:r w:rsidRPr="00A84F4C">
        <w:rPr>
          <w:rFonts w:ascii="Arial" w:eastAsiaTheme="majorEastAsia" w:hAnsi="Arial" w:cs="Arial"/>
          <w:color w:val="000000" w:themeColor="text1"/>
          <w:sz w:val="24"/>
        </w:rPr>
        <w:t>Stomatin</w:t>
      </w:r>
      <w:proofErr w:type="spellEnd"/>
      <w:r w:rsidRPr="00A84F4C">
        <w:rPr>
          <w:rFonts w:ascii="Arial" w:eastAsiaTheme="majorEastAsia" w:hAnsi="Arial" w:cs="Arial"/>
          <w:color w:val="000000" w:themeColor="text1"/>
          <w:sz w:val="24"/>
        </w:rPr>
        <w:t xml:space="preserve"> as well as thanks for improving their health </w:t>
      </w:r>
      <w:proofErr w:type="gramStart"/>
      <w:r w:rsidRPr="00A84F4C">
        <w:rPr>
          <w:rFonts w:ascii="Arial" w:eastAsiaTheme="majorEastAsia" w:hAnsi="Arial" w:cs="Arial"/>
          <w:color w:val="000000" w:themeColor="text1"/>
          <w:sz w:val="24"/>
        </w:rPr>
        <w:t>condition, or</w:t>
      </w:r>
      <w:proofErr w:type="gramEnd"/>
      <w:r w:rsidRPr="00A84F4C">
        <w:rPr>
          <w:rFonts w:ascii="Arial" w:eastAsiaTheme="majorEastAsia" w:hAnsi="Arial" w:cs="Arial"/>
          <w:color w:val="000000" w:themeColor="text1"/>
          <w:sz w:val="24"/>
        </w:rPr>
        <w:t xml:space="preserve"> even curing them. What made up the composition of this preparation, making it so popular, will be discussed in this paper. </w:t>
      </w:r>
    </w:p>
    <w:p w14:paraId="539A419E" w14:textId="77777777" w:rsidR="00C81AE7" w:rsidRPr="00A84F4C" w:rsidRDefault="00C81AE7" w:rsidP="00C81AE7">
      <w:pPr>
        <w:spacing w:after="0" w:line="240" w:lineRule="auto"/>
        <w:rPr>
          <w:rFonts w:ascii="Arial" w:hAnsi="Arial" w:cs="Arial"/>
          <w:sz w:val="24"/>
        </w:rPr>
      </w:pPr>
    </w:p>
    <w:p w14:paraId="5FD41F71" w14:textId="77777777" w:rsidR="00C81AE7" w:rsidRPr="00A84F4C" w:rsidRDefault="00C81AE7" w:rsidP="00C81AE7">
      <w:pPr>
        <w:spacing w:after="0" w:line="240" w:lineRule="auto"/>
        <w:rPr>
          <w:rFonts w:ascii="Arial" w:hAnsi="Arial" w:cs="Arial"/>
          <w:b/>
          <w:bCs/>
          <w:sz w:val="24"/>
          <w:u w:val="single"/>
        </w:rPr>
      </w:pPr>
      <w:r w:rsidRPr="00A84F4C">
        <w:rPr>
          <w:rFonts w:ascii="Arial" w:hAnsi="Arial" w:cs="Arial"/>
          <w:b/>
          <w:bCs/>
          <w:sz w:val="24"/>
          <w:u w:val="single"/>
        </w:rPr>
        <w:lastRenderedPageBreak/>
        <w:t xml:space="preserve">Culpeper on compound medicines in the Pharmacopoeia </w:t>
      </w:r>
      <w:proofErr w:type="spellStart"/>
      <w:r w:rsidRPr="00A84F4C">
        <w:rPr>
          <w:rFonts w:ascii="Arial" w:hAnsi="Arial" w:cs="Arial"/>
          <w:b/>
          <w:bCs/>
          <w:sz w:val="24"/>
          <w:u w:val="single"/>
        </w:rPr>
        <w:t>Londinensis</w:t>
      </w:r>
      <w:proofErr w:type="spellEnd"/>
      <w:r w:rsidRPr="00A84F4C">
        <w:rPr>
          <w:rFonts w:ascii="Arial" w:hAnsi="Arial" w:cs="Arial"/>
          <w:b/>
          <w:bCs/>
          <w:sz w:val="24"/>
          <w:u w:val="single"/>
        </w:rPr>
        <w:t xml:space="preserve"> 1618</w:t>
      </w:r>
    </w:p>
    <w:p w14:paraId="5B0E90C4" w14:textId="1984AB39" w:rsidR="00C81AE7" w:rsidRDefault="00C81AE7" w:rsidP="00C81AE7">
      <w:pPr>
        <w:spacing w:after="0" w:line="240" w:lineRule="auto"/>
        <w:rPr>
          <w:rFonts w:ascii="Arial" w:hAnsi="Arial" w:cs="Arial"/>
          <w:b/>
          <w:bCs/>
          <w:sz w:val="24"/>
          <w:u w:val="single"/>
        </w:rPr>
      </w:pPr>
      <w:r w:rsidRPr="00A84F4C">
        <w:rPr>
          <w:rFonts w:ascii="Arial" w:hAnsi="Arial" w:cs="Arial"/>
          <w:b/>
          <w:bCs/>
          <w:sz w:val="24"/>
          <w:u w:val="single"/>
        </w:rPr>
        <w:t>Dr Graeme Tobyn</w:t>
      </w:r>
      <w:r w:rsidR="0085412A">
        <w:rPr>
          <w:rFonts w:ascii="Arial" w:hAnsi="Arial" w:cs="Arial"/>
          <w:b/>
          <w:bCs/>
          <w:sz w:val="24"/>
          <w:u w:val="single"/>
        </w:rPr>
        <w:t xml:space="preserve"> (University of Lancaster)</w:t>
      </w:r>
    </w:p>
    <w:p w14:paraId="2E4016E0" w14:textId="77777777" w:rsidR="00987742" w:rsidRPr="00987742" w:rsidRDefault="00987742" w:rsidP="00C81AE7">
      <w:pPr>
        <w:spacing w:after="0" w:line="240" w:lineRule="auto"/>
        <w:rPr>
          <w:rFonts w:ascii="Arial" w:hAnsi="Arial" w:cs="Arial"/>
          <w:b/>
          <w:bCs/>
          <w:sz w:val="10"/>
          <w:szCs w:val="10"/>
        </w:rPr>
      </w:pPr>
    </w:p>
    <w:p w14:paraId="58D48BD0" w14:textId="77777777" w:rsidR="00C81AE7" w:rsidRPr="00A84F4C" w:rsidRDefault="00C81AE7" w:rsidP="00C81AE7">
      <w:pPr>
        <w:spacing w:after="0" w:line="240" w:lineRule="auto"/>
        <w:rPr>
          <w:rFonts w:ascii="Arial" w:hAnsi="Arial" w:cs="Arial"/>
          <w:sz w:val="24"/>
        </w:rPr>
      </w:pPr>
      <w:r w:rsidRPr="00A84F4C">
        <w:rPr>
          <w:rFonts w:ascii="Arial" w:hAnsi="Arial" w:cs="Arial"/>
          <w:sz w:val="24"/>
        </w:rPr>
        <w:t xml:space="preserve">Nicholas Culpeper's 1649 translation into English of the pharmacopoeia of the College of Physicians of London was considered scandalous not least because of the scurrilous remarks he appended on the College itself. However, he also provided a commentary on problems of the pharmaceutical preparation of some of the remedies, on the safety on others and on their usefulness. When the College issued a new version of the pharmacopoeia in 1650, which Culpeper duly translated for his own 1653 edition, he was </w:t>
      </w:r>
      <w:proofErr w:type="gramStart"/>
      <w:r w:rsidRPr="00A84F4C">
        <w:rPr>
          <w:rFonts w:ascii="Arial" w:hAnsi="Arial" w:cs="Arial"/>
          <w:sz w:val="24"/>
        </w:rPr>
        <w:t>in a position</w:t>
      </w:r>
      <w:proofErr w:type="gramEnd"/>
      <w:r w:rsidRPr="00A84F4C">
        <w:rPr>
          <w:rFonts w:ascii="Arial" w:hAnsi="Arial" w:cs="Arial"/>
          <w:sz w:val="24"/>
        </w:rPr>
        <w:t xml:space="preserve"> to compare versions and to discuss differences between them. After Culpeper's death, at the end of the Commonwealth period, his publisher Peter Cole started preparing a new version specifically for doctors, to take its place in his 'Rational Physicians' Library' of medical works translated by Culpeper and others. For this, he elicited the support of medical doctors to judiciously edit Culpeper's comments and to append their own in support of the approved English medicines. In this talk I explore some original prescriptions, Culpeper's choice comments on them and how the physicians responded. </w:t>
      </w:r>
    </w:p>
    <w:p w14:paraId="6D0497E1" w14:textId="77777777" w:rsidR="00C81AE7" w:rsidRPr="00A84F4C" w:rsidRDefault="00C81AE7" w:rsidP="00C81AE7">
      <w:pPr>
        <w:spacing w:after="0" w:line="240" w:lineRule="auto"/>
        <w:rPr>
          <w:rFonts w:ascii="Arial" w:hAnsi="Arial" w:cs="Arial"/>
          <w:sz w:val="24"/>
        </w:rPr>
      </w:pPr>
    </w:p>
    <w:p w14:paraId="64439377" w14:textId="77777777" w:rsidR="00C81AE7" w:rsidRPr="00A84F4C" w:rsidRDefault="00C81AE7" w:rsidP="00C81AE7">
      <w:pPr>
        <w:spacing w:after="0" w:line="240" w:lineRule="auto"/>
        <w:rPr>
          <w:rFonts w:ascii="Arial" w:hAnsi="Arial" w:cs="Arial"/>
          <w:b/>
          <w:bCs/>
          <w:sz w:val="24"/>
          <w:u w:val="single"/>
        </w:rPr>
      </w:pPr>
      <w:r w:rsidRPr="00A84F4C">
        <w:rPr>
          <w:rFonts w:ascii="Arial" w:hAnsi="Arial" w:cs="Arial"/>
          <w:b/>
          <w:bCs/>
          <w:sz w:val="24"/>
          <w:u w:val="single"/>
        </w:rPr>
        <w:t xml:space="preserve">“Serum Medicines Meet the Market” </w:t>
      </w:r>
    </w:p>
    <w:p w14:paraId="4D207E12" w14:textId="11A96F65" w:rsidR="00C81AE7" w:rsidRDefault="00C81AE7" w:rsidP="00C81AE7">
      <w:pPr>
        <w:spacing w:after="0" w:line="240" w:lineRule="auto"/>
        <w:rPr>
          <w:rFonts w:ascii="Arial" w:hAnsi="Arial" w:cs="Arial"/>
          <w:b/>
          <w:bCs/>
          <w:sz w:val="24"/>
          <w:u w:val="single"/>
        </w:rPr>
      </w:pPr>
      <w:r w:rsidRPr="00A84F4C">
        <w:rPr>
          <w:rFonts w:ascii="Arial" w:hAnsi="Arial" w:cs="Arial"/>
          <w:b/>
          <w:bCs/>
          <w:sz w:val="24"/>
          <w:u w:val="single"/>
        </w:rPr>
        <w:t xml:space="preserve">Edward J </w:t>
      </w:r>
      <w:proofErr w:type="spellStart"/>
      <w:r w:rsidRPr="00A84F4C">
        <w:rPr>
          <w:rFonts w:ascii="Arial" w:hAnsi="Arial" w:cs="Arial"/>
          <w:b/>
          <w:bCs/>
          <w:sz w:val="24"/>
          <w:u w:val="single"/>
        </w:rPr>
        <w:t>Wawrzynczak</w:t>
      </w:r>
      <w:proofErr w:type="spellEnd"/>
      <w:r w:rsidRPr="00A84F4C">
        <w:rPr>
          <w:rFonts w:ascii="Arial" w:hAnsi="Arial" w:cs="Arial"/>
          <w:b/>
          <w:bCs/>
          <w:sz w:val="24"/>
          <w:u w:val="single"/>
        </w:rPr>
        <w:t xml:space="preserve"> </w:t>
      </w:r>
      <w:r w:rsidR="0085412A">
        <w:rPr>
          <w:rFonts w:ascii="Arial" w:hAnsi="Arial" w:cs="Arial"/>
          <w:b/>
          <w:bCs/>
          <w:sz w:val="24"/>
          <w:u w:val="single"/>
        </w:rPr>
        <w:t>(British Society for the History of Medicine)</w:t>
      </w:r>
    </w:p>
    <w:p w14:paraId="2308BA98" w14:textId="77777777" w:rsidR="00987742" w:rsidRPr="00987742" w:rsidRDefault="00987742" w:rsidP="00C81AE7">
      <w:pPr>
        <w:spacing w:after="0" w:line="240" w:lineRule="auto"/>
        <w:rPr>
          <w:rFonts w:ascii="Arial" w:hAnsi="Arial" w:cs="Arial"/>
          <w:b/>
          <w:bCs/>
          <w:sz w:val="10"/>
          <w:szCs w:val="10"/>
          <w:u w:val="single"/>
        </w:rPr>
      </w:pPr>
    </w:p>
    <w:p w14:paraId="4F3CC071" w14:textId="30A3F2F4" w:rsidR="00C81AE7" w:rsidRDefault="00C81AE7" w:rsidP="00C81AE7">
      <w:pPr>
        <w:spacing w:after="0" w:line="240" w:lineRule="auto"/>
        <w:rPr>
          <w:rFonts w:ascii="Arial" w:hAnsi="Arial" w:cs="Arial"/>
          <w:sz w:val="24"/>
        </w:rPr>
      </w:pPr>
      <w:r w:rsidRPr="00A84F4C">
        <w:rPr>
          <w:rFonts w:ascii="Arial" w:hAnsi="Arial" w:cs="Arial"/>
          <w:sz w:val="24"/>
        </w:rPr>
        <w:t xml:space="preserve">Serum therapy emerged as a new approach for treating deadly infectious diseases at the end of the nineteenth century. What began as a laboratory discovery quickly entered the clinic and was soon in demand worldwide. However, anti-bacterial serums, as products of bacteriological research made by immunising horses and delivered by injection, were unlike traditional medicines or pharmaceutical drugs. How did serum medicines impact the world of pharmacy and vice versa? </w:t>
      </w:r>
    </w:p>
    <w:p w14:paraId="0677FFC1" w14:textId="77777777" w:rsidR="00A84F4C" w:rsidRPr="00987742" w:rsidRDefault="00A84F4C" w:rsidP="00C81AE7">
      <w:pPr>
        <w:spacing w:after="0" w:line="240" w:lineRule="auto"/>
        <w:rPr>
          <w:rFonts w:ascii="Arial" w:hAnsi="Arial" w:cs="Arial"/>
          <w:sz w:val="10"/>
          <w:szCs w:val="10"/>
        </w:rPr>
      </w:pPr>
    </w:p>
    <w:p w14:paraId="05F8286D" w14:textId="1CAC3BFB" w:rsidR="00C81AE7" w:rsidRPr="00A84F4C" w:rsidRDefault="00C81AE7" w:rsidP="00C81AE7">
      <w:pPr>
        <w:spacing w:after="0" w:line="240" w:lineRule="auto"/>
        <w:rPr>
          <w:rFonts w:ascii="Arial" w:hAnsi="Arial" w:cs="Arial"/>
          <w:sz w:val="24"/>
        </w:rPr>
      </w:pPr>
      <w:r w:rsidRPr="00A84F4C">
        <w:rPr>
          <w:rFonts w:ascii="Arial" w:hAnsi="Arial" w:cs="Arial"/>
          <w:sz w:val="24"/>
        </w:rPr>
        <w:t xml:space="preserve">The presentation will describe how serum medicines were introduced to the UK – the challenges, the implications for pharmacy, and the expansion of the market for serums in the early twentieth century – and consider relevant issues of branding, advertising, intellectual property, competition and standardisation. The material for this presentation draws on my research, which relates to serum products listed in Martindale’s Extra Pharmacopoeia, their manufacture by the Lister Institute of Preventive Medicine and their use in peace and war (published in Pharmaceutical Historian, Topics in the History of Medicine, Vesalius, BMJ Military Health and Veterinary History), and will also include findings from more recent examination of pharmacy records. </w:t>
      </w:r>
    </w:p>
    <w:p w14:paraId="010C71AD" w14:textId="77777777" w:rsidR="00C81AE7" w:rsidRPr="00A84F4C" w:rsidRDefault="00C81AE7" w:rsidP="00C81AE7">
      <w:pPr>
        <w:spacing w:after="0" w:line="240" w:lineRule="auto"/>
        <w:rPr>
          <w:rFonts w:ascii="Arial" w:hAnsi="Arial" w:cs="Arial"/>
          <w:sz w:val="24"/>
        </w:rPr>
      </w:pPr>
    </w:p>
    <w:p w14:paraId="1701DE4C" w14:textId="77777777" w:rsidR="00987742" w:rsidRDefault="00C81AE7" w:rsidP="00C81AE7">
      <w:pPr>
        <w:spacing w:after="0" w:line="240" w:lineRule="auto"/>
        <w:rPr>
          <w:rFonts w:ascii="Arial" w:hAnsi="Arial" w:cs="Arial"/>
          <w:b/>
          <w:bCs/>
          <w:sz w:val="24"/>
          <w:u w:val="single"/>
        </w:rPr>
      </w:pPr>
      <w:r w:rsidRPr="00A84F4C">
        <w:rPr>
          <w:rFonts w:ascii="Arial" w:hAnsi="Arial" w:cs="Arial"/>
          <w:b/>
          <w:bCs/>
          <w:sz w:val="24"/>
          <w:u w:val="single"/>
        </w:rPr>
        <w:t>Researching historical medicinal recipes - collaboration and links between household medicine practitioners and apothecaries</w:t>
      </w:r>
    </w:p>
    <w:p w14:paraId="6C7BB050" w14:textId="5B81ED35" w:rsidR="00C81AE7" w:rsidRDefault="00C81AE7" w:rsidP="00C81AE7">
      <w:pPr>
        <w:spacing w:after="0" w:line="240" w:lineRule="auto"/>
        <w:rPr>
          <w:rFonts w:ascii="Arial" w:hAnsi="Arial" w:cs="Arial"/>
          <w:b/>
          <w:bCs/>
          <w:sz w:val="24"/>
          <w:u w:val="single"/>
        </w:rPr>
      </w:pPr>
      <w:r w:rsidRPr="00A84F4C">
        <w:rPr>
          <w:rFonts w:ascii="Arial" w:hAnsi="Arial" w:cs="Arial"/>
          <w:b/>
          <w:bCs/>
          <w:sz w:val="24"/>
          <w:u w:val="single"/>
        </w:rPr>
        <w:t>Dr Anne Stobart (Honorary Research Fellow, University of Exeter)</w:t>
      </w:r>
    </w:p>
    <w:p w14:paraId="3288C722" w14:textId="77777777" w:rsidR="00987742" w:rsidRPr="00987742" w:rsidRDefault="00987742" w:rsidP="00C81AE7">
      <w:pPr>
        <w:spacing w:after="0" w:line="240" w:lineRule="auto"/>
        <w:rPr>
          <w:rFonts w:ascii="Arial" w:hAnsi="Arial" w:cs="Arial"/>
          <w:b/>
          <w:bCs/>
          <w:sz w:val="10"/>
          <w:szCs w:val="10"/>
          <w:u w:val="single"/>
        </w:rPr>
      </w:pPr>
    </w:p>
    <w:p w14:paraId="6027E35F" w14:textId="77777777" w:rsidR="00C81AE7" w:rsidRPr="00A84F4C" w:rsidRDefault="00C81AE7" w:rsidP="00C81AE7">
      <w:pPr>
        <w:spacing w:after="0" w:line="240" w:lineRule="auto"/>
        <w:rPr>
          <w:rFonts w:ascii="Arial" w:hAnsi="Arial" w:cs="Arial"/>
          <w:sz w:val="24"/>
        </w:rPr>
      </w:pPr>
      <w:r w:rsidRPr="00A84F4C">
        <w:rPr>
          <w:rFonts w:ascii="Arial" w:hAnsi="Arial" w:cs="Arial"/>
          <w:sz w:val="24"/>
        </w:rPr>
        <w:t>My research started from a simple question about the extent of use of early modern household recipes and women healers. As a clinical practitioner of herbal medicine today I sought to clarify the past role of botanical medicines too. Finding answers took me deep into the archives at local record offices and spanned botanical, economic, maritime, medical, social, and women’s fields of history. I became fascinated by historiography, trying to find a methodical approach that suited the many gaps in the historical archives yet accurately portrayed family health care and day-to-day life. Inevitably, the surviving household sources of accounts, letters and recipe books were more likely to represent higher status households. Yet, what I discovered was challenging to my notions of women’s role in health and their relationship to medical authority. Although many women gained confidence in domestic healing practices, they could have significant differences of opinion about the best medical treatments. And, unexpectedly, a high proportion of recorded household recipes required purchased and exotic ingredients. Apothecaries were key sources of these ingredients as well as collaborators in sharing medical knowledge. I further explored how women were challenged and supported by medical practitioners of the past. My understanding of medical authority had to be reassessed through my research. I developed the concept of therapeutic determination to describe how different alliances combined to inform medical decisions. Through this study I began to appreciate the needs of scholarly researchers and the benefits of collaboration today.</w:t>
      </w:r>
    </w:p>
    <w:p w14:paraId="1A3AB7BF" w14:textId="77777777" w:rsidR="00993630" w:rsidRPr="00A84F4C" w:rsidRDefault="00993630">
      <w:pPr>
        <w:rPr>
          <w:rFonts w:ascii="Arial" w:hAnsi="Arial" w:cs="Arial"/>
          <w:sz w:val="24"/>
        </w:rPr>
      </w:pPr>
    </w:p>
    <w:sectPr w:rsidR="00993630" w:rsidRPr="00A84F4C" w:rsidSect="009877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E7"/>
    <w:rsid w:val="002E7CAB"/>
    <w:rsid w:val="003527F5"/>
    <w:rsid w:val="00631444"/>
    <w:rsid w:val="006F6E4F"/>
    <w:rsid w:val="0085412A"/>
    <w:rsid w:val="00987742"/>
    <w:rsid w:val="00993630"/>
    <w:rsid w:val="009C212E"/>
    <w:rsid w:val="00A84F4C"/>
    <w:rsid w:val="00C81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2A1BD8"/>
  <w15:chartTrackingRefBased/>
  <w15:docId w15:val="{20FF2F4C-F632-2842-90B9-3F95B448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AE7"/>
    <w:pPr>
      <w:spacing w:after="160" w:line="259" w:lineRule="auto"/>
    </w:pPr>
    <w:rPr>
      <w:rFonts w:ascii="Calibri" w:eastAsia="Calibri" w:hAnsi="Calibri" w:cs="Calibri"/>
      <w:color w:val="000000"/>
      <w:kern w:val="0"/>
      <w:sz w:val="22"/>
      <w:lang w:eastAsia="en-GB"/>
      <w14:ligatures w14:val="none"/>
    </w:rPr>
  </w:style>
  <w:style w:type="paragraph" w:styleId="Heading1">
    <w:name w:val="heading 1"/>
    <w:basedOn w:val="Normal"/>
    <w:next w:val="Normal"/>
    <w:link w:val="Heading1Char"/>
    <w:uiPriority w:val="9"/>
    <w:qFormat/>
    <w:rsid w:val="00C81AE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C81AE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81AE7"/>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81AE7"/>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C81AE7"/>
    <w:pPr>
      <w:keepNext/>
      <w:keepLines/>
      <w:spacing w:before="80" w:after="40" w:line="240"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C81AE7"/>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C81AE7"/>
    <w:pPr>
      <w:keepNext/>
      <w:keepLines/>
      <w:spacing w:before="40" w:after="0" w:line="240"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C81AE7"/>
    <w:pPr>
      <w:keepNext/>
      <w:keepLines/>
      <w:spacing w:after="0" w:line="240"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C81AE7"/>
    <w:pPr>
      <w:keepNext/>
      <w:keepLines/>
      <w:spacing w:after="0" w:line="240"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1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A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A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A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AE7"/>
    <w:rPr>
      <w:rFonts w:eastAsiaTheme="majorEastAsia" w:cstheme="majorBidi"/>
      <w:color w:val="272727" w:themeColor="text1" w:themeTint="D8"/>
    </w:rPr>
  </w:style>
  <w:style w:type="paragraph" w:styleId="Title">
    <w:name w:val="Title"/>
    <w:basedOn w:val="Normal"/>
    <w:next w:val="Normal"/>
    <w:link w:val="TitleChar"/>
    <w:uiPriority w:val="10"/>
    <w:qFormat/>
    <w:rsid w:val="00C81AE7"/>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81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AE7"/>
    <w:pPr>
      <w:numPr>
        <w:ilvl w:val="1"/>
      </w:numPr>
      <w:spacing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81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AE7"/>
    <w:pPr>
      <w:spacing w:before="160" w:line="240"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C81AE7"/>
    <w:rPr>
      <w:i/>
      <w:iCs/>
      <w:color w:val="404040" w:themeColor="text1" w:themeTint="BF"/>
    </w:rPr>
  </w:style>
  <w:style w:type="paragraph" w:styleId="ListParagraph">
    <w:name w:val="List Paragraph"/>
    <w:basedOn w:val="Normal"/>
    <w:uiPriority w:val="34"/>
    <w:qFormat/>
    <w:rsid w:val="00C81AE7"/>
    <w:pPr>
      <w:spacing w:after="0" w:line="240" w:lineRule="auto"/>
      <w:ind w:left="720"/>
      <w:contextualSpacing/>
    </w:pPr>
    <w:rPr>
      <w:rFonts w:asciiTheme="minorHAnsi" w:eastAsiaTheme="minorHAnsi" w:hAnsiTheme="minorHAnsi" w:cstheme="minorBidi"/>
      <w:color w:val="auto"/>
      <w:kern w:val="2"/>
      <w:sz w:val="24"/>
      <w:lang w:eastAsia="en-US"/>
      <w14:ligatures w14:val="standardContextual"/>
    </w:rPr>
  </w:style>
  <w:style w:type="character" w:styleId="IntenseEmphasis">
    <w:name w:val="Intense Emphasis"/>
    <w:basedOn w:val="DefaultParagraphFont"/>
    <w:uiPriority w:val="21"/>
    <w:qFormat/>
    <w:rsid w:val="00C81AE7"/>
    <w:rPr>
      <w:i/>
      <w:iCs/>
      <w:color w:val="0F4761" w:themeColor="accent1" w:themeShade="BF"/>
    </w:rPr>
  </w:style>
  <w:style w:type="paragraph" w:styleId="IntenseQuote">
    <w:name w:val="Intense Quote"/>
    <w:basedOn w:val="Normal"/>
    <w:next w:val="Normal"/>
    <w:link w:val="IntenseQuoteChar"/>
    <w:uiPriority w:val="30"/>
    <w:qFormat/>
    <w:rsid w:val="00C81AE7"/>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C81AE7"/>
    <w:rPr>
      <w:i/>
      <w:iCs/>
      <w:color w:val="0F4761" w:themeColor="accent1" w:themeShade="BF"/>
    </w:rPr>
  </w:style>
  <w:style w:type="character" w:styleId="IntenseReference">
    <w:name w:val="Intense Reference"/>
    <w:basedOn w:val="DefaultParagraphFont"/>
    <w:uiPriority w:val="32"/>
    <w:qFormat/>
    <w:rsid w:val="00C81AE7"/>
    <w:rPr>
      <w:b/>
      <w:bCs/>
      <w:smallCaps/>
      <w:color w:val="0F4761" w:themeColor="accent1" w:themeShade="BF"/>
      <w:spacing w:val="5"/>
    </w:rPr>
  </w:style>
  <w:style w:type="paragraph" w:styleId="NormalWeb">
    <w:name w:val="Normal (Web)"/>
    <w:basedOn w:val="Normal"/>
    <w:uiPriority w:val="99"/>
    <w:unhideWhenUsed/>
    <w:rsid w:val="00C81AE7"/>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8104">
      <w:bodyDiv w:val="1"/>
      <w:marLeft w:val="0"/>
      <w:marRight w:val="0"/>
      <w:marTop w:val="0"/>
      <w:marBottom w:val="0"/>
      <w:divBdr>
        <w:top w:val="none" w:sz="0" w:space="0" w:color="auto"/>
        <w:left w:val="none" w:sz="0" w:space="0" w:color="auto"/>
        <w:bottom w:val="none" w:sz="0" w:space="0" w:color="auto"/>
        <w:right w:val="none" w:sz="0" w:space="0" w:color="auto"/>
      </w:divBdr>
    </w:div>
    <w:div w:id="4000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Briony Harmer</dc:creator>
  <cp:keywords/>
  <dc:description/>
  <cp:lastModifiedBy>Briony Harmer</cp:lastModifiedBy>
  <cp:revision>2</cp:revision>
  <dcterms:created xsi:type="dcterms:W3CDTF">2025-04-03T18:41:00Z</dcterms:created>
  <dcterms:modified xsi:type="dcterms:W3CDTF">2025-04-03T18:41:00Z</dcterms:modified>
  <cp:category/>
</cp:coreProperties>
</file>